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0" w:rsidRDefault="00160DC0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2068E7" w:rsidRPr="002068E7" w:rsidTr="002068E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068E7" w:rsidRPr="002068E7" w:rsidRDefault="002068E7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2068E7" w:rsidRPr="002068E7" w:rsidRDefault="002068E7" w:rsidP="00FC5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 Jalacingo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2068E7" w:rsidRPr="002068E7" w:rsidRDefault="002068E7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068E7" w:rsidTr="002068E7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2068E7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068E7" w:rsidTr="002068E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2068E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068E7" w:rsidTr="002068E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2068E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068E7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068E7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Denuncia de persona desaparecida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2068E7" w:rsidTr="002068E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068E7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2068E7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068E7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068E7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068E7" w:rsidTr="002068E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068E7" w:rsidRDefault="00FC5256" w:rsidP="00FC5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Cualquier persona Física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2068E7" w:rsidRDefault="002220B5" w:rsidP="003B1DF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 xml:space="preserve">Cuando una persona informa 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>la desaparición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 xml:space="preserve"> algún familiar</w:t>
            </w:r>
            <w:r w:rsidRPr="002068E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068E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2068E7" w:rsidTr="002068E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068E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2068E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068E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2C2335" w:rsidRPr="002068E7" w:rsidTr="002068E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2068E7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2C2335" w:rsidRPr="002068E7" w:rsidTr="002068E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2068E7" w:rsidTr="002068E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2068E7" w:rsidRDefault="00FC5256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De responsabilidad penal para el Fiscal que conozca del trámite, ya que disposición de ley, está obligado a recibir la denuncia y consecuentemente integrar una carpeta de investigación.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2068E7" w:rsidTr="002068E7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068E7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1.</w:t>
            </w:r>
            <w:r w:rsidR="000259CE" w:rsidRPr="002068E7">
              <w:rPr>
                <w:rFonts w:ascii="Neo Sans Pro" w:hAnsi="Neo Sans Pro"/>
                <w:sz w:val="16"/>
                <w:szCs w:val="16"/>
              </w:rPr>
              <w:t>R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ecibir la denuncia de forma verbal o escrita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2068E7" w:rsidRDefault="0052219D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 xml:space="preserve">Acuerdo 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25/2011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Firmado por el  C. Procurador General de Justicia del Estado de Veracruz y publicado en la Gaceta Oficial del día 1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9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julio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 201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1, por el que se establecen Lineamientos para la Atención Inmediata de Personas Desaparecidas, así como el Protocolo Homologado para la Búsqueda de Personas Desaparecidas publicad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 xml:space="preserve"> en el Diario Oficial de la Federación el 23 de septiembre de 2015</w:t>
            </w: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2.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Identificacion oficial del denunciante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3.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>Acta de Nacimiento de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l denunciante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4.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Acta de nacimiento de la persona desaparecida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085927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5.</w:t>
            </w:r>
            <w:r w:rsidR="000259CE" w:rsidRPr="002068E7">
              <w:rPr>
                <w:rFonts w:ascii="Neo Sans Pro" w:hAnsi="Neo Sans Pro"/>
                <w:sz w:val="16"/>
                <w:szCs w:val="16"/>
              </w:rPr>
              <w:t xml:space="preserve"> F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otografía reciente de la persona desaparecida</w:t>
            </w:r>
            <w:r w:rsidRPr="002068E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0259CE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6. C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omparecencia de familiar cercano para toma de muestra de ADN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01EB7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7. I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dentificación oficial del familiar cercano.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D5516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D5516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3B1DF7" w:rsidP="0008592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2068E7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068E7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068E7" w:rsidTr="002068E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2068E7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068E7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2068E7" w:rsidRDefault="00F67FFD" w:rsidP="00D5516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2068E7" w:rsidRDefault="00201EB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52219D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6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3183395</w:t>
            </w:r>
          </w:p>
          <w:p w:rsidR="00685E55" w:rsidRPr="002068E7" w:rsidRDefault="00685E55" w:rsidP="00D5516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6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3183527</w:t>
            </w:r>
          </w:p>
        </w:tc>
      </w:tr>
      <w:tr w:rsidR="002C2335" w:rsidRPr="002068E7" w:rsidTr="002068E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068E7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Carretera Federal Teziutlán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 xml:space="preserve">-Perote sin Numero Cuartel Segundo Jalacingo, Veracruz 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 xml:space="preserve"> Postal 93660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2068E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2068E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2068E7" w:rsidTr="002068E7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068E7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068E7" w:rsidTr="002068E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3F6FA8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2068E7" w:rsidTr="002068E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2068E7" w:rsidRDefault="00685E55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2068E7" w:rsidRDefault="00A75F1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Carretera Federal Teziutlán-Perote sin Numero Cuartel Segundo Jalacingo, Veracruz Código Postal 93660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75F1A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(226)3183527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2068E7" w:rsidRDefault="00685E55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Uipj1</w:t>
            </w:r>
            <w:r w:rsidR="00A75F1A" w:rsidRPr="002068E7">
              <w:rPr>
                <w:rFonts w:ascii="Neo Sans Pro" w:hAnsi="Neo Sans Pro"/>
                <w:bCs/>
                <w:sz w:val="16"/>
                <w:szCs w:val="16"/>
              </w:rPr>
              <w:t>0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@</w:t>
            </w:r>
            <w:r w:rsidR="00A75F1A" w:rsidRPr="002068E7">
              <w:rPr>
                <w:rFonts w:ascii="Neo Sans Pro" w:hAnsi="Neo Sans Pro"/>
                <w:bCs/>
                <w:sz w:val="16"/>
                <w:szCs w:val="16"/>
              </w:rPr>
              <w:t>gmail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.com</w:t>
            </w:r>
          </w:p>
        </w:tc>
      </w:tr>
      <w:tr w:rsidR="002068E7" w:rsidRPr="002068E7" w:rsidTr="007D6E7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Visitador(</w:t>
            </w:r>
            <w:bookmarkStart w:id="0" w:name="_GoBack"/>
            <w:bookmarkEnd w:id="0"/>
            <w:r w:rsidRPr="002068E7">
              <w:rPr>
                <w:rFonts w:ascii="Neo Sans Pro" w:hAnsi="Neo Sans Pro"/>
                <w:bCs/>
                <w:sz w:val="16"/>
                <w:szCs w:val="16"/>
              </w:rPr>
              <w:t>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068E7" w:rsidRPr="002068E7" w:rsidRDefault="002068E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068E7" w:rsidRPr="002068E7" w:rsidRDefault="002068E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068E7" w:rsidRPr="002068E7" w:rsidRDefault="002068E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2068E7" w:rsidRPr="002068E7" w:rsidTr="007D6E7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068E7" w:rsidRPr="002068E7" w:rsidRDefault="002068E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B1DF7" w:rsidRPr="002068E7" w:rsidTr="002068E7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3B1DF7" w:rsidRPr="002068E7" w:rsidRDefault="003B1DF7" w:rsidP="003B1DF7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B1DF7" w:rsidRPr="002068E7" w:rsidTr="00E62C7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3B1DF7" w:rsidRPr="002068E7" w:rsidRDefault="003B1DF7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3B1DF7" w:rsidRPr="002068E7" w:rsidRDefault="003B1DF7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</w:tr>
    </w:tbl>
    <w:p w:rsidR="0097237C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p w:rsidR="0097237C" w:rsidRPr="00EE3350" w:rsidRDefault="0097237C" w:rsidP="00FC3249">
      <w:pPr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9" w:rsidRDefault="00CE2079">
      <w:r>
        <w:separator/>
      </w:r>
    </w:p>
  </w:endnote>
  <w:endnote w:type="continuationSeparator" w:id="0">
    <w:p w:rsidR="00CE2079" w:rsidRDefault="00C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9" w:rsidRDefault="00CE2079">
      <w:r>
        <w:separator/>
      </w:r>
    </w:p>
  </w:footnote>
  <w:footnote w:type="continuationSeparator" w:id="0">
    <w:p w:rsidR="00CE2079" w:rsidRDefault="00CE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068E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201.35pt;margin-top:32.3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2068E7" w:rsidRDefault="002068E7" w:rsidP="002068E7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068E7" w:rsidRDefault="002068E7" w:rsidP="002068E7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068E7" w:rsidRDefault="002068E7" w:rsidP="002068E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2068E7">
      <w:rPr>
        <w:noProof/>
      </w:rPr>
      <w:t xml:space="preserve"> </w:t>
    </w:r>
    <w:r>
      <w:rPr>
        <w:noProof/>
      </w:rPr>
      <w:drawing>
        <wp:inline distT="0" distB="0" distL="0" distR="0" wp14:anchorId="1AF086A5" wp14:editId="3A5441E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259CE"/>
    <w:rsid w:val="00031582"/>
    <w:rsid w:val="000343C5"/>
    <w:rsid w:val="00045154"/>
    <w:rsid w:val="00056C6D"/>
    <w:rsid w:val="00062CBF"/>
    <w:rsid w:val="000803A0"/>
    <w:rsid w:val="00085927"/>
    <w:rsid w:val="000879DB"/>
    <w:rsid w:val="000A0B13"/>
    <w:rsid w:val="000A4E60"/>
    <w:rsid w:val="000C018B"/>
    <w:rsid w:val="000D78B1"/>
    <w:rsid w:val="000D7A01"/>
    <w:rsid w:val="000E2FB0"/>
    <w:rsid w:val="000E7738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1EB7"/>
    <w:rsid w:val="002068E7"/>
    <w:rsid w:val="00211D8B"/>
    <w:rsid w:val="002220B5"/>
    <w:rsid w:val="00244512"/>
    <w:rsid w:val="00251097"/>
    <w:rsid w:val="0026640E"/>
    <w:rsid w:val="002A1786"/>
    <w:rsid w:val="002A27AA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316DD"/>
    <w:rsid w:val="003667FC"/>
    <w:rsid w:val="00375985"/>
    <w:rsid w:val="003B1BA4"/>
    <w:rsid w:val="003B1DF7"/>
    <w:rsid w:val="003E4080"/>
    <w:rsid w:val="003E470D"/>
    <w:rsid w:val="003E5A04"/>
    <w:rsid w:val="003F6FA8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71AAD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2C61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8EA"/>
    <w:rsid w:val="00861A27"/>
    <w:rsid w:val="008622A9"/>
    <w:rsid w:val="008708F6"/>
    <w:rsid w:val="00871391"/>
    <w:rsid w:val="00880160"/>
    <w:rsid w:val="00883E84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BD1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75F1A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4A7"/>
    <w:rsid w:val="00BA7EAC"/>
    <w:rsid w:val="00BB4CA5"/>
    <w:rsid w:val="00BD6572"/>
    <w:rsid w:val="00BD71C8"/>
    <w:rsid w:val="00C11D67"/>
    <w:rsid w:val="00C16C78"/>
    <w:rsid w:val="00C35CFC"/>
    <w:rsid w:val="00C37DBE"/>
    <w:rsid w:val="00C43F33"/>
    <w:rsid w:val="00C4740F"/>
    <w:rsid w:val="00C553CF"/>
    <w:rsid w:val="00C70E12"/>
    <w:rsid w:val="00C711A7"/>
    <w:rsid w:val="00C96263"/>
    <w:rsid w:val="00C97DE1"/>
    <w:rsid w:val="00CA777A"/>
    <w:rsid w:val="00CB2061"/>
    <w:rsid w:val="00CB2846"/>
    <w:rsid w:val="00CB48D3"/>
    <w:rsid w:val="00CB61C9"/>
    <w:rsid w:val="00CC414D"/>
    <w:rsid w:val="00CD54C6"/>
    <w:rsid w:val="00CE2079"/>
    <w:rsid w:val="00D21513"/>
    <w:rsid w:val="00D5516E"/>
    <w:rsid w:val="00D578E3"/>
    <w:rsid w:val="00D90E71"/>
    <w:rsid w:val="00DA51E7"/>
    <w:rsid w:val="00DC0E11"/>
    <w:rsid w:val="00DC1785"/>
    <w:rsid w:val="00DD7AFA"/>
    <w:rsid w:val="00DF3FD8"/>
    <w:rsid w:val="00E0132D"/>
    <w:rsid w:val="00E355F2"/>
    <w:rsid w:val="00E36132"/>
    <w:rsid w:val="00E44882"/>
    <w:rsid w:val="00E7045E"/>
    <w:rsid w:val="00E80957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249"/>
    <w:rsid w:val="00FC39E1"/>
    <w:rsid w:val="00FC5256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5414-AFA5-4F84-825C-B23B39B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6</cp:revision>
  <cp:lastPrinted>2015-10-06T18:57:00Z</cp:lastPrinted>
  <dcterms:created xsi:type="dcterms:W3CDTF">2016-07-05T15:30:00Z</dcterms:created>
  <dcterms:modified xsi:type="dcterms:W3CDTF">2017-04-04T00:47:00Z</dcterms:modified>
</cp:coreProperties>
</file>